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529" w:rsidRPr="000857C1" w:rsidRDefault="00180529" w:rsidP="00180529">
      <w:pPr>
        <w:spacing w:line="300" w:lineRule="auto"/>
        <w:jc w:val="center"/>
        <w:rPr>
          <w:rFonts w:ascii="Arial" w:hAnsi="Arial" w:cs="Arial"/>
          <w:b/>
          <w:lang w:eastAsia="en-GB"/>
        </w:rPr>
      </w:pPr>
      <w:bookmarkStart w:id="0" w:name="_GoBack"/>
      <w:bookmarkEnd w:id="0"/>
      <w:r w:rsidRPr="000857C1">
        <w:rPr>
          <w:rFonts w:ascii="Arial" w:hAnsi="Arial" w:cs="Arial"/>
          <w:b/>
          <w:lang w:eastAsia="en-GB"/>
        </w:rPr>
        <w:t>ANNEX C – Price Quotation</w:t>
      </w:r>
    </w:p>
    <w:p w:rsidR="00180529" w:rsidRPr="000857C1" w:rsidRDefault="00180529" w:rsidP="00180529">
      <w:pPr>
        <w:spacing w:line="300" w:lineRule="auto"/>
        <w:jc w:val="center"/>
        <w:rPr>
          <w:rFonts w:ascii="Arial" w:hAnsi="Arial" w:cs="Arial"/>
          <w:b/>
          <w:i/>
          <w:sz w:val="20"/>
          <w:szCs w:val="20"/>
          <w:lang w:eastAsia="en-GB"/>
        </w:rPr>
      </w:pPr>
      <w:r w:rsidRPr="000857C1">
        <w:rPr>
          <w:rFonts w:ascii="Arial" w:hAnsi="Arial" w:cs="Arial"/>
          <w:b/>
          <w:i/>
          <w:sz w:val="20"/>
          <w:szCs w:val="20"/>
          <w:lang w:eastAsia="en-GB"/>
        </w:rPr>
        <w:t>(</w:t>
      </w:r>
      <w:proofErr w:type="gramStart"/>
      <w:r w:rsidRPr="000857C1">
        <w:rPr>
          <w:rFonts w:ascii="Arial" w:hAnsi="Arial" w:cs="Arial"/>
          <w:b/>
          <w:i/>
          <w:sz w:val="20"/>
          <w:szCs w:val="20"/>
          <w:lang w:eastAsia="en-GB"/>
        </w:rPr>
        <w:t>to</w:t>
      </w:r>
      <w:proofErr w:type="gramEnd"/>
      <w:r w:rsidRPr="000857C1">
        <w:rPr>
          <w:rFonts w:ascii="Arial" w:hAnsi="Arial" w:cs="Arial"/>
          <w:b/>
          <w:i/>
          <w:sz w:val="20"/>
          <w:szCs w:val="20"/>
          <w:lang w:eastAsia="en-GB"/>
        </w:rPr>
        <w:t xml:space="preserve"> be filled in by the tenderer)</w:t>
      </w:r>
    </w:p>
    <w:p w:rsidR="00180529" w:rsidRPr="000857C1" w:rsidRDefault="00180529" w:rsidP="00180529">
      <w:pPr>
        <w:spacing w:line="300" w:lineRule="auto"/>
        <w:rPr>
          <w:rFonts w:ascii="Arial" w:hAnsi="Arial" w:cs="Arial"/>
          <w:sz w:val="20"/>
          <w:szCs w:val="20"/>
          <w:lang w:eastAsia="en-GB"/>
        </w:rPr>
      </w:pPr>
    </w:p>
    <w:p w:rsidR="00180529" w:rsidRDefault="00180529" w:rsidP="00180529">
      <w:pPr>
        <w:spacing w:line="300" w:lineRule="auto"/>
        <w:jc w:val="both"/>
        <w:rPr>
          <w:rFonts w:ascii="Arial" w:hAnsi="Arial" w:cs="Arial"/>
          <w:sz w:val="20"/>
          <w:szCs w:val="20"/>
          <w:lang w:eastAsia="en-GB"/>
        </w:rPr>
      </w:pPr>
      <w:r>
        <w:rPr>
          <w:rFonts w:ascii="Arial" w:hAnsi="Arial" w:cs="Arial"/>
          <w:sz w:val="20"/>
          <w:szCs w:val="20"/>
          <w:lang w:eastAsia="en-GB"/>
        </w:rPr>
        <w:t>The price shall</w:t>
      </w:r>
      <w:r w:rsidRPr="000857C1">
        <w:rPr>
          <w:rFonts w:ascii="Arial" w:hAnsi="Arial" w:cs="Arial"/>
          <w:sz w:val="20"/>
          <w:szCs w:val="20"/>
          <w:lang w:eastAsia="en-GB"/>
        </w:rPr>
        <w:t xml:space="preserve"> be quoted in </w:t>
      </w:r>
      <w:r>
        <w:rPr>
          <w:rFonts w:ascii="Arial" w:hAnsi="Arial" w:cs="Arial"/>
          <w:sz w:val="20"/>
          <w:szCs w:val="20"/>
          <w:lang w:eastAsia="en-GB"/>
        </w:rPr>
        <w:t xml:space="preserve">Euro and in </w:t>
      </w:r>
      <w:r w:rsidRPr="000857C1">
        <w:rPr>
          <w:rFonts w:ascii="Arial" w:hAnsi="Arial" w:cs="Arial"/>
          <w:sz w:val="20"/>
          <w:szCs w:val="20"/>
          <w:lang w:eastAsia="en-GB"/>
        </w:rPr>
        <w:t xml:space="preserve">accordance with </w:t>
      </w:r>
      <w:r w:rsidRPr="00463CE0">
        <w:rPr>
          <w:rFonts w:ascii="Arial" w:hAnsi="Arial" w:cs="Arial"/>
          <w:sz w:val="20"/>
          <w:szCs w:val="20"/>
          <w:lang w:eastAsia="en-GB"/>
        </w:rPr>
        <w:t>point 11</w:t>
      </w:r>
      <w:r>
        <w:rPr>
          <w:rFonts w:ascii="Arial" w:hAnsi="Arial" w:cs="Arial"/>
          <w:sz w:val="20"/>
          <w:szCs w:val="20"/>
          <w:lang w:eastAsia="en-GB"/>
        </w:rPr>
        <w:t xml:space="preserve"> of the tender s</w:t>
      </w:r>
      <w:r w:rsidRPr="00463CE0">
        <w:rPr>
          <w:rFonts w:ascii="Arial" w:hAnsi="Arial" w:cs="Arial"/>
          <w:sz w:val="20"/>
          <w:szCs w:val="20"/>
          <w:lang w:eastAsia="en-GB"/>
        </w:rPr>
        <w:t>pecifications</w:t>
      </w:r>
      <w:r w:rsidRPr="000857C1">
        <w:rPr>
          <w:rFonts w:ascii="Arial" w:hAnsi="Arial" w:cs="Arial"/>
          <w:sz w:val="20"/>
          <w:szCs w:val="20"/>
          <w:lang w:eastAsia="en-GB"/>
        </w:rPr>
        <w:t>.</w:t>
      </w:r>
    </w:p>
    <w:p w:rsidR="00180529" w:rsidRDefault="00180529" w:rsidP="00180529">
      <w:pPr>
        <w:spacing w:line="300" w:lineRule="auto"/>
        <w:jc w:val="both"/>
        <w:rPr>
          <w:rFonts w:ascii="Arial" w:hAnsi="Arial" w:cs="Arial"/>
          <w:sz w:val="20"/>
          <w:szCs w:val="20"/>
          <w:lang w:eastAsia="en-GB"/>
        </w:rPr>
      </w:pPr>
      <w:r w:rsidRPr="00A97A45">
        <w:rPr>
          <w:rFonts w:ascii="Arial" w:hAnsi="Arial" w:cs="Arial"/>
          <w:sz w:val="20"/>
          <w:szCs w:val="20"/>
          <w:lang w:eastAsia="en-GB"/>
        </w:rPr>
        <w:t>The percentage (%) of the broker</w:t>
      </w:r>
      <w:r>
        <w:rPr>
          <w:rFonts w:ascii="Arial" w:hAnsi="Arial" w:cs="Arial"/>
          <w:sz w:val="20"/>
          <w:szCs w:val="20"/>
          <w:lang w:eastAsia="en-GB"/>
        </w:rPr>
        <w:t>age fee should be equal for all insurances</w:t>
      </w:r>
      <w:r w:rsidRPr="00A97A45">
        <w:rPr>
          <w:rFonts w:ascii="Arial" w:hAnsi="Arial" w:cs="Arial"/>
          <w:sz w:val="20"/>
          <w:szCs w:val="20"/>
          <w:lang w:eastAsia="en-GB"/>
        </w:rPr>
        <w:t>.</w:t>
      </w:r>
    </w:p>
    <w:p w:rsidR="00180529" w:rsidRDefault="00180529" w:rsidP="00180529">
      <w:pPr>
        <w:spacing w:line="300" w:lineRule="auto"/>
        <w:jc w:val="both"/>
        <w:rPr>
          <w:rFonts w:ascii="Arial" w:hAnsi="Arial" w:cs="Arial"/>
          <w:sz w:val="20"/>
          <w:szCs w:val="20"/>
          <w:u w:val="single"/>
          <w:lang w:eastAsia="en-GB"/>
        </w:rPr>
      </w:pPr>
    </w:p>
    <w:p w:rsidR="00180529" w:rsidRDefault="00180529" w:rsidP="00180529">
      <w:pPr>
        <w:spacing w:line="300" w:lineRule="auto"/>
        <w:jc w:val="both"/>
        <w:rPr>
          <w:rFonts w:ascii="Arial" w:hAnsi="Arial" w:cs="Arial"/>
          <w:sz w:val="20"/>
          <w:szCs w:val="20"/>
          <w:lang w:eastAsia="en-GB"/>
        </w:rPr>
      </w:pPr>
      <w:r w:rsidRPr="00F2202D">
        <w:rPr>
          <w:rFonts w:ascii="Arial" w:hAnsi="Arial" w:cs="Arial"/>
          <w:sz w:val="20"/>
          <w:szCs w:val="20"/>
          <w:u w:val="single"/>
          <w:lang w:eastAsia="en-GB"/>
        </w:rPr>
        <w:t>Please note</w:t>
      </w:r>
      <w:r w:rsidRPr="00F2202D">
        <w:rPr>
          <w:rFonts w:ascii="Arial" w:hAnsi="Arial" w:cs="Arial"/>
          <w:sz w:val="20"/>
          <w:szCs w:val="20"/>
          <w:lang w:eastAsia="en-GB"/>
        </w:rPr>
        <w:t>: For purposes of the evaluation the price should be calculated without any deductibles (“</w:t>
      </w:r>
      <w:proofErr w:type="spellStart"/>
      <w:r w:rsidRPr="00F2202D">
        <w:rPr>
          <w:rFonts w:ascii="Arial" w:hAnsi="Arial" w:cs="Arial"/>
          <w:sz w:val="20"/>
          <w:szCs w:val="20"/>
          <w:lang w:eastAsia="en-GB"/>
        </w:rPr>
        <w:t>franquia</w:t>
      </w:r>
      <w:proofErr w:type="spellEnd"/>
      <w:r w:rsidRPr="00F2202D">
        <w:rPr>
          <w:rFonts w:ascii="Arial" w:hAnsi="Arial" w:cs="Arial"/>
          <w:sz w:val="20"/>
          <w:szCs w:val="20"/>
          <w:lang w:eastAsia="en-GB"/>
        </w:rPr>
        <w:t>”) with</w:t>
      </w:r>
      <w:r>
        <w:rPr>
          <w:rFonts w:ascii="Arial" w:hAnsi="Arial" w:cs="Arial"/>
          <w:sz w:val="20"/>
          <w:szCs w:val="20"/>
          <w:lang w:eastAsia="en-GB"/>
        </w:rPr>
        <w:t xml:space="preserve"> the exception of the admissible</w:t>
      </w:r>
      <w:r w:rsidRPr="00F2202D">
        <w:rPr>
          <w:rFonts w:ascii="Arial" w:hAnsi="Arial" w:cs="Arial"/>
          <w:sz w:val="20"/>
          <w:szCs w:val="20"/>
          <w:lang w:eastAsia="en-GB"/>
        </w:rPr>
        <w:t xml:space="preserve"> deductibles </w:t>
      </w:r>
      <w:r>
        <w:rPr>
          <w:rFonts w:ascii="Arial" w:hAnsi="Arial" w:cs="Arial"/>
          <w:sz w:val="20"/>
          <w:szCs w:val="20"/>
          <w:lang w:eastAsia="en-GB"/>
        </w:rPr>
        <w:t xml:space="preserve">explicitly </w:t>
      </w:r>
      <w:r w:rsidRPr="00F2202D">
        <w:rPr>
          <w:rFonts w:ascii="Arial" w:hAnsi="Arial" w:cs="Arial"/>
          <w:sz w:val="20"/>
          <w:szCs w:val="20"/>
          <w:lang w:eastAsia="en-GB"/>
        </w:rPr>
        <w:t>stipulated under section 2.3 of the tender specifications. If the tenderer can only offer an insurance policy including deductibles higher than the ones stipulated under section 2.3 of the tender specifications, they will be taken into consideration as unfavourable for the evaluation of the award criteria/price criterion.</w:t>
      </w:r>
    </w:p>
    <w:p w:rsidR="00180529" w:rsidRPr="000857C1" w:rsidRDefault="00180529" w:rsidP="00180529">
      <w:pPr>
        <w:spacing w:line="300" w:lineRule="auto"/>
        <w:rPr>
          <w:rFonts w:ascii="Arial" w:hAnsi="Arial" w:cs="Arial"/>
          <w:sz w:val="20"/>
          <w:szCs w:val="20"/>
          <w:lang w:eastAsia="en-GB"/>
        </w:rPr>
      </w:pPr>
    </w:p>
    <w:tbl>
      <w:tblPr>
        <w:tblStyle w:val="TableGrid"/>
        <w:tblW w:w="988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68"/>
        <w:gridCol w:w="1701"/>
        <w:gridCol w:w="2126"/>
        <w:gridCol w:w="1701"/>
        <w:gridCol w:w="2693"/>
      </w:tblGrid>
      <w:tr w:rsidR="00180529" w:rsidRPr="000857C1" w:rsidTr="00846B16">
        <w:tc>
          <w:tcPr>
            <w:tcW w:w="1668" w:type="dxa"/>
            <w:shd w:val="clear" w:color="auto" w:fill="244061" w:themeFill="accent1" w:themeFillShade="80"/>
            <w:vAlign w:val="center"/>
          </w:tcPr>
          <w:p w:rsidR="00180529" w:rsidRPr="000857C1" w:rsidRDefault="00180529" w:rsidP="00846B16">
            <w:pPr>
              <w:jc w:val="center"/>
              <w:rPr>
                <w:rFonts w:ascii="Arial" w:hAnsi="Arial" w:cs="Arial"/>
                <w:color w:val="FFFFFF" w:themeColor="background1"/>
                <w:sz w:val="20"/>
                <w:szCs w:val="20"/>
                <w:lang w:eastAsia="en-GB"/>
              </w:rPr>
            </w:pPr>
            <w:r w:rsidRPr="000857C1">
              <w:rPr>
                <w:rFonts w:ascii="Arial" w:hAnsi="Arial" w:cs="Arial"/>
                <w:color w:val="FFFFFF" w:themeColor="background1"/>
                <w:sz w:val="20"/>
                <w:szCs w:val="20"/>
                <w:lang w:eastAsia="en-GB"/>
              </w:rPr>
              <w:t>Insurance policy</w:t>
            </w:r>
          </w:p>
        </w:tc>
        <w:tc>
          <w:tcPr>
            <w:tcW w:w="1701" w:type="dxa"/>
            <w:shd w:val="clear" w:color="auto" w:fill="244061" w:themeFill="accent1" w:themeFillShade="80"/>
            <w:vAlign w:val="center"/>
          </w:tcPr>
          <w:p w:rsidR="00180529" w:rsidRPr="000857C1" w:rsidRDefault="00180529" w:rsidP="00846B16">
            <w:pPr>
              <w:jc w:val="center"/>
              <w:rPr>
                <w:rFonts w:ascii="Arial" w:hAnsi="Arial" w:cs="Arial"/>
                <w:color w:val="FFFFFF" w:themeColor="background1"/>
                <w:sz w:val="20"/>
                <w:szCs w:val="20"/>
                <w:lang w:eastAsia="en-GB"/>
              </w:rPr>
            </w:pPr>
            <w:r w:rsidRPr="000857C1">
              <w:rPr>
                <w:rFonts w:ascii="Arial" w:hAnsi="Arial" w:cs="Arial"/>
                <w:color w:val="FFFFFF" w:themeColor="background1"/>
                <w:sz w:val="20"/>
                <w:szCs w:val="20"/>
                <w:lang w:eastAsia="en-GB"/>
              </w:rPr>
              <w:t>Insured value</w:t>
            </w:r>
          </w:p>
        </w:tc>
        <w:tc>
          <w:tcPr>
            <w:tcW w:w="2126" w:type="dxa"/>
            <w:shd w:val="clear" w:color="auto" w:fill="244061" w:themeFill="accent1" w:themeFillShade="80"/>
            <w:vAlign w:val="center"/>
          </w:tcPr>
          <w:p w:rsidR="00180529" w:rsidRPr="000857C1" w:rsidRDefault="00180529" w:rsidP="00846B16">
            <w:pPr>
              <w:jc w:val="center"/>
              <w:rPr>
                <w:rFonts w:ascii="Arial" w:hAnsi="Arial" w:cs="Arial"/>
                <w:color w:val="FFFFFF" w:themeColor="background1"/>
                <w:sz w:val="20"/>
                <w:szCs w:val="20"/>
                <w:lang w:eastAsia="en-GB"/>
              </w:rPr>
            </w:pPr>
            <w:r w:rsidRPr="000857C1">
              <w:rPr>
                <w:rFonts w:ascii="Arial" w:hAnsi="Arial" w:cs="Arial"/>
                <w:color w:val="FFFFFF" w:themeColor="background1"/>
                <w:sz w:val="20"/>
                <w:szCs w:val="20"/>
                <w:lang w:eastAsia="en-GB"/>
              </w:rPr>
              <w:t>Premium for the first year</w:t>
            </w:r>
            <w:r w:rsidRPr="000857C1">
              <w:rPr>
                <w:rFonts w:ascii="Arial" w:hAnsi="Arial" w:cs="Arial"/>
                <w:b/>
                <w:color w:val="FFFFFF" w:themeColor="background1"/>
                <w:sz w:val="20"/>
                <w:szCs w:val="20"/>
                <w:lang w:eastAsia="en-GB"/>
              </w:rPr>
              <w:t>*</w:t>
            </w:r>
            <w:r w:rsidRPr="000857C1">
              <w:rPr>
                <w:rFonts w:ascii="Arial" w:hAnsi="Arial" w:cs="Arial"/>
                <w:color w:val="FFFFFF" w:themeColor="background1"/>
                <w:sz w:val="20"/>
                <w:szCs w:val="20"/>
                <w:lang w:eastAsia="en-GB"/>
              </w:rPr>
              <w:t xml:space="preserve"> </w:t>
            </w:r>
          </w:p>
          <w:p w:rsidR="00180529" w:rsidRPr="000857C1" w:rsidRDefault="00180529" w:rsidP="00846B16">
            <w:pPr>
              <w:jc w:val="center"/>
              <w:rPr>
                <w:rFonts w:ascii="Arial" w:hAnsi="Arial" w:cs="Arial"/>
                <w:color w:val="FFFFFF" w:themeColor="background1"/>
                <w:sz w:val="20"/>
                <w:szCs w:val="20"/>
                <w:lang w:eastAsia="en-GB"/>
              </w:rPr>
            </w:pPr>
          </w:p>
        </w:tc>
        <w:tc>
          <w:tcPr>
            <w:tcW w:w="1701" w:type="dxa"/>
            <w:shd w:val="clear" w:color="auto" w:fill="244061" w:themeFill="accent1" w:themeFillShade="80"/>
            <w:vAlign w:val="center"/>
          </w:tcPr>
          <w:p w:rsidR="00180529" w:rsidRDefault="00180529" w:rsidP="00846B16">
            <w:pPr>
              <w:jc w:val="center"/>
              <w:rPr>
                <w:rFonts w:ascii="Arial" w:hAnsi="Arial" w:cs="Arial"/>
                <w:color w:val="FFFFFF" w:themeColor="background1"/>
                <w:sz w:val="20"/>
                <w:szCs w:val="20"/>
                <w:lang w:eastAsia="en-GB"/>
              </w:rPr>
            </w:pPr>
            <w:r w:rsidRPr="000857C1">
              <w:rPr>
                <w:rFonts w:ascii="Arial" w:hAnsi="Arial" w:cs="Arial"/>
                <w:color w:val="FFFFFF" w:themeColor="background1"/>
                <w:sz w:val="20"/>
                <w:szCs w:val="20"/>
                <w:lang w:eastAsia="en-GB"/>
              </w:rPr>
              <w:t>Brokerage fee</w:t>
            </w:r>
            <w:r>
              <w:rPr>
                <w:rFonts w:ascii="Arial" w:hAnsi="Arial" w:cs="Arial"/>
                <w:color w:val="FFFFFF" w:themeColor="background1"/>
                <w:sz w:val="20"/>
                <w:szCs w:val="20"/>
                <w:lang w:eastAsia="en-GB"/>
              </w:rPr>
              <w:t xml:space="preserve"> </w:t>
            </w:r>
            <w:r w:rsidRPr="000857C1">
              <w:rPr>
                <w:rStyle w:val="FootnoteReference"/>
                <w:rFonts w:ascii="Arial" w:hAnsi="Arial" w:cs="Arial"/>
                <w:color w:val="FFFFFF" w:themeColor="background1"/>
                <w:sz w:val="20"/>
                <w:szCs w:val="20"/>
                <w:lang w:eastAsia="en-GB"/>
              </w:rPr>
              <w:footnoteReference w:id="1"/>
            </w:r>
          </w:p>
          <w:p w:rsidR="00180529" w:rsidRPr="000857C1" w:rsidRDefault="00180529" w:rsidP="00846B16">
            <w:pPr>
              <w:jc w:val="center"/>
              <w:rPr>
                <w:rFonts w:ascii="Arial" w:hAnsi="Arial" w:cs="Arial"/>
                <w:color w:val="FFFFFF" w:themeColor="background1"/>
                <w:sz w:val="20"/>
                <w:szCs w:val="20"/>
                <w:lang w:eastAsia="en-GB"/>
              </w:rPr>
            </w:pPr>
            <w:r>
              <w:rPr>
                <w:rFonts w:ascii="Arial" w:hAnsi="Arial" w:cs="Arial"/>
                <w:color w:val="FFFFFF" w:themeColor="background1"/>
                <w:sz w:val="20"/>
                <w:szCs w:val="20"/>
                <w:lang w:eastAsia="en-GB"/>
              </w:rPr>
              <w:t>(%)</w:t>
            </w:r>
            <w:r w:rsidRPr="000857C1">
              <w:rPr>
                <w:rFonts w:ascii="Arial" w:hAnsi="Arial" w:cs="Arial"/>
                <w:b/>
                <w:color w:val="FFFFFF" w:themeColor="background1"/>
                <w:sz w:val="20"/>
                <w:szCs w:val="20"/>
                <w:lang w:eastAsia="en-GB"/>
              </w:rPr>
              <w:t>*</w:t>
            </w:r>
          </w:p>
        </w:tc>
        <w:tc>
          <w:tcPr>
            <w:tcW w:w="2693" w:type="dxa"/>
            <w:shd w:val="clear" w:color="auto" w:fill="244061" w:themeFill="accent1" w:themeFillShade="80"/>
            <w:vAlign w:val="center"/>
          </w:tcPr>
          <w:p w:rsidR="00180529" w:rsidRPr="000857C1" w:rsidRDefault="00180529" w:rsidP="00846B16">
            <w:pPr>
              <w:jc w:val="center"/>
              <w:rPr>
                <w:rFonts w:ascii="Arial" w:hAnsi="Arial" w:cs="Arial"/>
                <w:color w:val="FFFFFF" w:themeColor="background1"/>
                <w:sz w:val="20"/>
                <w:szCs w:val="20"/>
                <w:lang w:eastAsia="en-GB"/>
              </w:rPr>
            </w:pPr>
            <w:r>
              <w:rPr>
                <w:rFonts w:ascii="Arial" w:hAnsi="Arial" w:cs="Arial"/>
                <w:color w:val="FFFFFF" w:themeColor="background1"/>
                <w:sz w:val="20"/>
                <w:szCs w:val="20"/>
                <w:lang w:eastAsia="en-GB"/>
              </w:rPr>
              <w:t>Annual price</w:t>
            </w:r>
            <w:r w:rsidRPr="000857C1">
              <w:rPr>
                <w:rFonts w:ascii="Arial" w:hAnsi="Arial" w:cs="Arial"/>
                <w:color w:val="FFFFFF" w:themeColor="background1"/>
                <w:sz w:val="20"/>
                <w:szCs w:val="20"/>
                <w:lang w:eastAsia="en-GB"/>
              </w:rPr>
              <w:t xml:space="preserve"> for the first year</w:t>
            </w:r>
            <w:r w:rsidRPr="000857C1">
              <w:rPr>
                <w:rFonts w:ascii="Arial" w:hAnsi="Arial" w:cs="Arial"/>
                <w:b/>
                <w:color w:val="FFFFFF" w:themeColor="background1"/>
                <w:sz w:val="20"/>
                <w:szCs w:val="20"/>
                <w:lang w:eastAsia="en-GB"/>
              </w:rPr>
              <w:t>*</w:t>
            </w:r>
          </w:p>
          <w:p w:rsidR="00180529" w:rsidRPr="000857C1" w:rsidRDefault="00180529" w:rsidP="00846B16">
            <w:pPr>
              <w:jc w:val="center"/>
              <w:rPr>
                <w:rFonts w:ascii="Arial" w:hAnsi="Arial" w:cs="Arial"/>
                <w:i/>
                <w:color w:val="FFFFFF" w:themeColor="background1"/>
                <w:sz w:val="20"/>
                <w:szCs w:val="20"/>
                <w:lang w:eastAsia="en-GB"/>
              </w:rPr>
            </w:pPr>
            <w:r>
              <w:rPr>
                <w:rFonts w:ascii="Arial" w:hAnsi="Arial" w:cs="Arial"/>
                <w:i/>
                <w:color w:val="FFFFFF" w:themeColor="background1"/>
                <w:sz w:val="20"/>
                <w:szCs w:val="20"/>
                <w:lang w:eastAsia="en-GB"/>
              </w:rPr>
              <w:t xml:space="preserve">(= </w:t>
            </w:r>
            <w:r w:rsidRPr="000857C1">
              <w:rPr>
                <w:rFonts w:ascii="Arial" w:hAnsi="Arial" w:cs="Arial"/>
                <w:i/>
                <w:color w:val="FFFFFF" w:themeColor="background1"/>
                <w:sz w:val="20"/>
                <w:szCs w:val="20"/>
                <w:lang w:eastAsia="en-GB"/>
              </w:rPr>
              <w:t>premium + brokerage fee</w:t>
            </w:r>
            <w:r>
              <w:rPr>
                <w:rFonts w:ascii="Arial" w:hAnsi="Arial" w:cs="Arial"/>
                <w:i/>
                <w:color w:val="FFFFFF" w:themeColor="background1"/>
                <w:sz w:val="20"/>
                <w:szCs w:val="20"/>
                <w:lang w:eastAsia="en-GB"/>
              </w:rPr>
              <w:t>)</w:t>
            </w:r>
          </w:p>
          <w:p w:rsidR="00180529" w:rsidRPr="000857C1" w:rsidRDefault="00180529" w:rsidP="00846B16">
            <w:pPr>
              <w:jc w:val="center"/>
              <w:rPr>
                <w:rFonts w:ascii="Arial" w:hAnsi="Arial" w:cs="Arial"/>
                <w:color w:val="FFFFFF" w:themeColor="background1"/>
                <w:sz w:val="20"/>
                <w:szCs w:val="20"/>
                <w:lang w:eastAsia="en-GB"/>
              </w:rPr>
            </w:pPr>
          </w:p>
        </w:tc>
      </w:tr>
      <w:tr w:rsidR="00180529" w:rsidRPr="000857C1" w:rsidTr="00846B16">
        <w:trPr>
          <w:trHeight w:val="952"/>
        </w:trPr>
        <w:tc>
          <w:tcPr>
            <w:tcW w:w="1668" w:type="dxa"/>
            <w:shd w:val="clear" w:color="auto" w:fill="D9D9D9" w:themeFill="background1" w:themeFillShade="D9"/>
            <w:vAlign w:val="center"/>
          </w:tcPr>
          <w:p w:rsidR="00180529" w:rsidRPr="000857C1" w:rsidRDefault="00180529" w:rsidP="00846B16">
            <w:pPr>
              <w:spacing w:line="300" w:lineRule="auto"/>
              <w:rPr>
                <w:rFonts w:ascii="Arial" w:hAnsi="Arial" w:cs="Arial"/>
                <w:sz w:val="20"/>
                <w:szCs w:val="20"/>
                <w:lang w:eastAsia="en-GB"/>
              </w:rPr>
            </w:pPr>
            <w:r w:rsidRPr="000857C1">
              <w:rPr>
                <w:rFonts w:ascii="Arial" w:hAnsi="Arial" w:cs="Arial"/>
                <w:sz w:val="20"/>
                <w:szCs w:val="20"/>
                <w:lang w:eastAsia="en-GB"/>
              </w:rPr>
              <w:t xml:space="preserve">Contents </w:t>
            </w:r>
            <w:r>
              <w:rPr>
                <w:rFonts w:ascii="Arial" w:hAnsi="Arial" w:cs="Arial"/>
                <w:sz w:val="20"/>
                <w:szCs w:val="20"/>
                <w:lang w:eastAsia="en-GB"/>
              </w:rPr>
              <w:t xml:space="preserve">of the </w:t>
            </w:r>
            <w:r w:rsidRPr="000857C1">
              <w:rPr>
                <w:rFonts w:ascii="Arial" w:hAnsi="Arial" w:cs="Arial"/>
                <w:sz w:val="20"/>
                <w:szCs w:val="20"/>
                <w:lang w:eastAsia="en-GB"/>
              </w:rPr>
              <w:t>EMSA building</w:t>
            </w:r>
          </w:p>
        </w:tc>
        <w:tc>
          <w:tcPr>
            <w:tcW w:w="1701" w:type="dxa"/>
            <w:shd w:val="clear" w:color="auto" w:fill="D9D9D9" w:themeFill="background1" w:themeFillShade="D9"/>
            <w:vAlign w:val="center"/>
          </w:tcPr>
          <w:p w:rsidR="00180529" w:rsidRPr="000857C1" w:rsidRDefault="00180529" w:rsidP="00846B16">
            <w:pPr>
              <w:spacing w:line="300" w:lineRule="auto"/>
              <w:jc w:val="center"/>
              <w:rPr>
                <w:rFonts w:ascii="Arial" w:hAnsi="Arial" w:cs="Arial"/>
                <w:b/>
                <w:color w:val="E36C0A" w:themeColor="accent6" w:themeShade="BF"/>
                <w:sz w:val="20"/>
                <w:szCs w:val="20"/>
                <w:lang w:eastAsia="en-GB"/>
              </w:rPr>
            </w:pPr>
            <w:r>
              <w:rPr>
                <w:rFonts w:ascii="Arial" w:hAnsi="Arial" w:cs="Arial"/>
                <w:b/>
                <w:sz w:val="18"/>
                <w:szCs w:val="18"/>
              </w:rPr>
              <w:t>+- € 918</w:t>
            </w:r>
            <w:r w:rsidRPr="000857C1">
              <w:rPr>
                <w:rFonts w:ascii="Arial" w:hAnsi="Arial" w:cs="Arial"/>
                <w:b/>
                <w:sz w:val="18"/>
                <w:szCs w:val="18"/>
              </w:rPr>
              <w:t>,</w:t>
            </w:r>
            <w:r>
              <w:rPr>
                <w:rFonts w:ascii="Arial" w:hAnsi="Arial" w:cs="Arial"/>
                <w:b/>
                <w:sz w:val="18"/>
                <w:szCs w:val="18"/>
              </w:rPr>
              <w:t>794.00</w:t>
            </w:r>
          </w:p>
        </w:tc>
        <w:tc>
          <w:tcPr>
            <w:tcW w:w="2126" w:type="dxa"/>
            <w:shd w:val="clear" w:color="auto" w:fill="D9D9D9" w:themeFill="background1" w:themeFillShade="D9"/>
          </w:tcPr>
          <w:p w:rsidR="00180529" w:rsidRPr="000857C1" w:rsidRDefault="00180529" w:rsidP="00846B16">
            <w:pPr>
              <w:spacing w:line="300" w:lineRule="auto"/>
              <w:rPr>
                <w:rFonts w:ascii="Arial" w:hAnsi="Arial" w:cs="Arial"/>
                <w:sz w:val="20"/>
                <w:szCs w:val="20"/>
                <w:lang w:eastAsia="en-GB"/>
              </w:rPr>
            </w:pPr>
          </w:p>
        </w:tc>
        <w:tc>
          <w:tcPr>
            <w:tcW w:w="1701" w:type="dxa"/>
            <w:shd w:val="clear" w:color="auto" w:fill="D9D9D9" w:themeFill="background1" w:themeFillShade="D9"/>
          </w:tcPr>
          <w:p w:rsidR="00180529" w:rsidRPr="000857C1" w:rsidRDefault="00180529" w:rsidP="00846B16">
            <w:pPr>
              <w:spacing w:line="300" w:lineRule="auto"/>
              <w:rPr>
                <w:rFonts w:ascii="Arial" w:hAnsi="Arial" w:cs="Arial"/>
                <w:sz w:val="20"/>
                <w:szCs w:val="20"/>
                <w:lang w:eastAsia="en-GB"/>
              </w:rPr>
            </w:pPr>
          </w:p>
        </w:tc>
        <w:tc>
          <w:tcPr>
            <w:tcW w:w="2693" w:type="dxa"/>
            <w:shd w:val="clear" w:color="auto" w:fill="DBE5F1" w:themeFill="accent1" w:themeFillTint="33"/>
          </w:tcPr>
          <w:p w:rsidR="00180529" w:rsidRPr="000857C1" w:rsidRDefault="00180529" w:rsidP="00846B16">
            <w:pPr>
              <w:spacing w:line="300" w:lineRule="auto"/>
              <w:rPr>
                <w:rFonts w:ascii="Arial" w:hAnsi="Arial" w:cs="Arial"/>
                <w:sz w:val="20"/>
                <w:szCs w:val="20"/>
                <w:lang w:eastAsia="en-GB"/>
              </w:rPr>
            </w:pPr>
          </w:p>
        </w:tc>
      </w:tr>
      <w:tr w:rsidR="00180529" w:rsidRPr="000857C1" w:rsidTr="00846B16">
        <w:trPr>
          <w:trHeight w:val="980"/>
        </w:trPr>
        <w:tc>
          <w:tcPr>
            <w:tcW w:w="1668" w:type="dxa"/>
            <w:shd w:val="clear" w:color="auto" w:fill="D9D9D9" w:themeFill="background1" w:themeFillShade="D9"/>
            <w:vAlign w:val="center"/>
          </w:tcPr>
          <w:p w:rsidR="00180529" w:rsidRPr="000857C1" w:rsidRDefault="00180529" w:rsidP="00846B16">
            <w:pPr>
              <w:spacing w:line="300" w:lineRule="auto"/>
              <w:rPr>
                <w:rFonts w:ascii="Arial" w:hAnsi="Arial" w:cs="Arial"/>
                <w:sz w:val="20"/>
                <w:szCs w:val="20"/>
                <w:lang w:eastAsia="en-GB"/>
              </w:rPr>
            </w:pPr>
            <w:r w:rsidRPr="000857C1">
              <w:rPr>
                <w:rFonts w:ascii="Arial" w:hAnsi="Arial" w:cs="Arial"/>
                <w:sz w:val="20"/>
                <w:szCs w:val="20"/>
                <w:lang w:eastAsia="en-GB"/>
              </w:rPr>
              <w:t>EMSA ICT equipment</w:t>
            </w:r>
          </w:p>
        </w:tc>
        <w:tc>
          <w:tcPr>
            <w:tcW w:w="1701" w:type="dxa"/>
            <w:shd w:val="clear" w:color="auto" w:fill="D9D9D9" w:themeFill="background1" w:themeFillShade="D9"/>
            <w:vAlign w:val="center"/>
          </w:tcPr>
          <w:p w:rsidR="00180529" w:rsidRPr="000857C1" w:rsidRDefault="00180529" w:rsidP="00846B16">
            <w:pPr>
              <w:suppressAutoHyphens/>
              <w:rPr>
                <w:rFonts w:ascii="Arial" w:hAnsi="Arial" w:cs="Arial"/>
                <w:b/>
                <w:sz w:val="18"/>
                <w:szCs w:val="18"/>
              </w:rPr>
            </w:pPr>
            <w:r w:rsidRPr="000857C1">
              <w:rPr>
                <w:rFonts w:ascii="Arial" w:hAnsi="Arial" w:cs="Arial"/>
                <w:b/>
                <w:sz w:val="18"/>
                <w:szCs w:val="18"/>
              </w:rPr>
              <w:t xml:space="preserve">+- </w:t>
            </w:r>
            <w:r>
              <w:rPr>
                <w:rFonts w:ascii="Arial" w:hAnsi="Arial" w:cs="Arial"/>
                <w:b/>
                <w:sz w:val="18"/>
                <w:szCs w:val="18"/>
              </w:rPr>
              <w:t>€ 4</w:t>
            </w:r>
            <w:r w:rsidRPr="000857C1">
              <w:rPr>
                <w:rFonts w:ascii="Arial" w:hAnsi="Arial" w:cs="Arial"/>
                <w:b/>
                <w:sz w:val="18"/>
                <w:szCs w:val="18"/>
              </w:rPr>
              <w:t>,</w:t>
            </w:r>
            <w:r>
              <w:rPr>
                <w:rFonts w:ascii="Arial" w:hAnsi="Arial" w:cs="Arial"/>
                <w:b/>
                <w:sz w:val="18"/>
                <w:szCs w:val="18"/>
              </w:rPr>
              <w:t>560</w:t>
            </w:r>
            <w:r w:rsidRPr="000857C1">
              <w:rPr>
                <w:rFonts w:ascii="Arial" w:hAnsi="Arial" w:cs="Arial"/>
                <w:b/>
                <w:sz w:val="18"/>
                <w:szCs w:val="18"/>
              </w:rPr>
              <w:t>,</w:t>
            </w:r>
            <w:r>
              <w:rPr>
                <w:rFonts w:ascii="Arial" w:hAnsi="Arial" w:cs="Arial"/>
                <w:b/>
                <w:sz w:val="18"/>
                <w:szCs w:val="18"/>
              </w:rPr>
              <w:t>798.00</w:t>
            </w:r>
          </w:p>
          <w:p w:rsidR="00180529" w:rsidRPr="000857C1" w:rsidRDefault="00180529" w:rsidP="00846B16">
            <w:pPr>
              <w:spacing w:line="300" w:lineRule="auto"/>
              <w:jc w:val="center"/>
              <w:rPr>
                <w:rFonts w:ascii="Arial" w:hAnsi="Arial" w:cs="Arial"/>
                <w:b/>
                <w:color w:val="E36C0A" w:themeColor="accent6" w:themeShade="BF"/>
                <w:sz w:val="20"/>
                <w:szCs w:val="20"/>
                <w:lang w:eastAsia="en-GB"/>
              </w:rPr>
            </w:pPr>
          </w:p>
        </w:tc>
        <w:tc>
          <w:tcPr>
            <w:tcW w:w="2126" w:type="dxa"/>
            <w:shd w:val="clear" w:color="auto" w:fill="D9D9D9" w:themeFill="background1" w:themeFillShade="D9"/>
          </w:tcPr>
          <w:p w:rsidR="00180529" w:rsidRPr="000857C1" w:rsidRDefault="00180529" w:rsidP="00846B16">
            <w:pPr>
              <w:spacing w:line="300" w:lineRule="auto"/>
              <w:rPr>
                <w:rFonts w:ascii="Arial" w:hAnsi="Arial" w:cs="Arial"/>
                <w:sz w:val="20"/>
                <w:szCs w:val="20"/>
                <w:lang w:eastAsia="en-GB"/>
              </w:rPr>
            </w:pPr>
          </w:p>
        </w:tc>
        <w:tc>
          <w:tcPr>
            <w:tcW w:w="1701" w:type="dxa"/>
            <w:shd w:val="clear" w:color="auto" w:fill="D9D9D9" w:themeFill="background1" w:themeFillShade="D9"/>
          </w:tcPr>
          <w:p w:rsidR="00180529" w:rsidRPr="000857C1" w:rsidRDefault="00180529" w:rsidP="00846B16">
            <w:pPr>
              <w:spacing w:line="300" w:lineRule="auto"/>
              <w:rPr>
                <w:rFonts w:ascii="Arial" w:hAnsi="Arial" w:cs="Arial"/>
                <w:sz w:val="20"/>
                <w:szCs w:val="20"/>
                <w:lang w:eastAsia="en-GB"/>
              </w:rPr>
            </w:pPr>
          </w:p>
        </w:tc>
        <w:tc>
          <w:tcPr>
            <w:tcW w:w="2693" w:type="dxa"/>
            <w:shd w:val="clear" w:color="auto" w:fill="DBE5F1" w:themeFill="accent1" w:themeFillTint="33"/>
          </w:tcPr>
          <w:p w:rsidR="00180529" w:rsidRPr="000857C1" w:rsidRDefault="00180529" w:rsidP="00846B16">
            <w:pPr>
              <w:spacing w:line="300" w:lineRule="auto"/>
              <w:rPr>
                <w:rFonts w:ascii="Arial" w:hAnsi="Arial" w:cs="Arial"/>
                <w:sz w:val="20"/>
                <w:szCs w:val="20"/>
                <w:lang w:eastAsia="en-GB"/>
              </w:rPr>
            </w:pPr>
          </w:p>
        </w:tc>
      </w:tr>
      <w:tr w:rsidR="00180529" w:rsidRPr="000857C1" w:rsidTr="00846B16">
        <w:trPr>
          <w:trHeight w:val="980"/>
        </w:trPr>
        <w:tc>
          <w:tcPr>
            <w:tcW w:w="1668" w:type="dxa"/>
            <w:shd w:val="clear" w:color="auto" w:fill="D9D9D9" w:themeFill="background1" w:themeFillShade="D9"/>
            <w:vAlign w:val="center"/>
          </w:tcPr>
          <w:p w:rsidR="00180529" w:rsidRPr="000857C1" w:rsidRDefault="00180529" w:rsidP="00846B16">
            <w:pPr>
              <w:spacing w:line="300" w:lineRule="auto"/>
              <w:rPr>
                <w:rFonts w:ascii="Arial" w:hAnsi="Arial" w:cs="Arial"/>
                <w:sz w:val="20"/>
                <w:szCs w:val="20"/>
                <w:lang w:eastAsia="en-GB"/>
              </w:rPr>
            </w:pPr>
            <w:r w:rsidRPr="005E28B6">
              <w:rPr>
                <w:rFonts w:ascii="Arial" w:hAnsi="Arial" w:cs="Arial"/>
                <w:sz w:val="20"/>
                <w:szCs w:val="20"/>
                <w:lang w:eastAsia="en-GB"/>
              </w:rPr>
              <w:t>Contents of the EMSA garage</w:t>
            </w:r>
          </w:p>
        </w:tc>
        <w:tc>
          <w:tcPr>
            <w:tcW w:w="1701" w:type="dxa"/>
            <w:shd w:val="clear" w:color="auto" w:fill="D9D9D9" w:themeFill="background1" w:themeFillShade="D9"/>
            <w:vAlign w:val="center"/>
          </w:tcPr>
          <w:p w:rsidR="00180529" w:rsidRPr="000857C1" w:rsidRDefault="00180529" w:rsidP="00846B16">
            <w:pPr>
              <w:suppressAutoHyphens/>
              <w:rPr>
                <w:rFonts w:ascii="Arial" w:hAnsi="Arial" w:cs="Arial"/>
                <w:b/>
                <w:sz w:val="18"/>
                <w:szCs w:val="18"/>
              </w:rPr>
            </w:pPr>
            <w:r>
              <w:rPr>
                <w:rFonts w:ascii="Arial" w:hAnsi="Arial" w:cs="Arial"/>
                <w:b/>
                <w:sz w:val="18"/>
                <w:szCs w:val="18"/>
              </w:rPr>
              <w:t>Max. € 1,000,000.00</w:t>
            </w:r>
          </w:p>
        </w:tc>
        <w:tc>
          <w:tcPr>
            <w:tcW w:w="2126" w:type="dxa"/>
            <w:shd w:val="clear" w:color="auto" w:fill="D9D9D9" w:themeFill="background1" w:themeFillShade="D9"/>
          </w:tcPr>
          <w:p w:rsidR="00180529" w:rsidRPr="000857C1" w:rsidRDefault="00180529" w:rsidP="00846B16">
            <w:pPr>
              <w:spacing w:line="300" w:lineRule="auto"/>
              <w:rPr>
                <w:rFonts w:ascii="Arial" w:hAnsi="Arial" w:cs="Arial"/>
                <w:sz w:val="20"/>
                <w:szCs w:val="20"/>
                <w:lang w:eastAsia="en-GB"/>
              </w:rPr>
            </w:pPr>
          </w:p>
        </w:tc>
        <w:tc>
          <w:tcPr>
            <w:tcW w:w="1701" w:type="dxa"/>
            <w:shd w:val="clear" w:color="auto" w:fill="D9D9D9" w:themeFill="background1" w:themeFillShade="D9"/>
          </w:tcPr>
          <w:p w:rsidR="00180529" w:rsidRPr="000857C1" w:rsidRDefault="00180529" w:rsidP="00846B16">
            <w:pPr>
              <w:spacing w:line="300" w:lineRule="auto"/>
              <w:rPr>
                <w:rFonts w:ascii="Arial" w:hAnsi="Arial" w:cs="Arial"/>
                <w:sz w:val="20"/>
                <w:szCs w:val="20"/>
                <w:lang w:eastAsia="en-GB"/>
              </w:rPr>
            </w:pPr>
          </w:p>
        </w:tc>
        <w:tc>
          <w:tcPr>
            <w:tcW w:w="2693" w:type="dxa"/>
            <w:shd w:val="clear" w:color="auto" w:fill="DBE5F1" w:themeFill="accent1" w:themeFillTint="33"/>
          </w:tcPr>
          <w:p w:rsidR="00180529" w:rsidRPr="000857C1" w:rsidRDefault="00180529" w:rsidP="00846B16">
            <w:pPr>
              <w:spacing w:line="300" w:lineRule="auto"/>
              <w:rPr>
                <w:rFonts w:ascii="Arial" w:hAnsi="Arial" w:cs="Arial"/>
                <w:sz w:val="20"/>
                <w:szCs w:val="20"/>
                <w:lang w:eastAsia="en-GB"/>
              </w:rPr>
            </w:pPr>
          </w:p>
        </w:tc>
      </w:tr>
      <w:tr w:rsidR="00180529" w:rsidRPr="000857C1" w:rsidTr="00846B16">
        <w:trPr>
          <w:trHeight w:val="980"/>
        </w:trPr>
        <w:tc>
          <w:tcPr>
            <w:tcW w:w="1668" w:type="dxa"/>
            <w:shd w:val="clear" w:color="auto" w:fill="D9D9D9" w:themeFill="background1" w:themeFillShade="D9"/>
            <w:vAlign w:val="center"/>
          </w:tcPr>
          <w:p w:rsidR="00180529" w:rsidRDefault="00180529" w:rsidP="00846B16">
            <w:pPr>
              <w:spacing w:line="300" w:lineRule="auto"/>
              <w:rPr>
                <w:rFonts w:ascii="Arial" w:hAnsi="Arial" w:cs="Arial"/>
                <w:sz w:val="20"/>
                <w:szCs w:val="20"/>
                <w:lang w:eastAsia="en-GB"/>
              </w:rPr>
            </w:pPr>
            <w:r w:rsidRPr="005E28B6">
              <w:rPr>
                <w:rFonts w:ascii="Arial" w:hAnsi="Arial" w:cs="Arial"/>
                <w:sz w:val="20"/>
                <w:szCs w:val="20"/>
                <w:lang w:eastAsia="en-GB"/>
              </w:rPr>
              <w:t>Automobile insurance for the Agency’s two cars</w:t>
            </w:r>
          </w:p>
        </w:tc>
        <w:tc>
          <w:tcPr>
            <w:tcW w:w="1701" w:type="dxa"/>
            <w:shd w:val="clear" w:color="auto" w:fill="D9D9D9" w:themeFill="background1" w:themeFillShade="D9"/>
            <w:vAlign w:val="center"/>
          </w:tcPr>
          <w:p w:rsidR="00180529" w:rsidRPr="000857C1" w:rsidRDefault="00180529" w:rsidP="00846B16">
            <w:pPr>
              <w:suppressAutoHyphens/>
              <w:rPr>
                <w:rFonts w:ascii="Arial" w:hAnsi="Arial" w:cs="Arial"/>
                <w:b/>
                <w:sz w:val="18"/>
                <w:szCs w:val="18"/>
              </w:rPr>
            </w:pPr>
            <w:r>
              <w:rPr>
                <w:rFonts w:ascii="Arial" w:hAnsi="Arial" w:cs="Arial"/>
                <w:b/>
                <w:sz w:val="18"/>
                <w:szCs w:val="18"/>
              </w:rPr>
              <w:t>(see section 2.3.4 tender specifications)</w:t>
            </w:r>
          </w:p>
        </w:tc>
        <w:tc>
          <w:tcPr>
            <w:tcW w:w="2126" w:type="dxa"/>
            <w:shd w:val="clear" w:color="auto" w:fill="D9D9D9" w:themeFill="background1" w:themeFillShade="D9"/>
          </w:tcPr>
          <w:p w:rsidR="00180529" w:rsidRPr="000857C1" w:rsidRDefault="00180529" w:rsidP="00846B16">
            <w:pPr>
              <w:spacing w:line="300" w:lineRule="auto"/>
              <w:rPr>
                <w:rFonts w:ascii="Arial" w:hAnsi="Arial" w:cs="Arial"/>
                <w:sz w:val="20"/>
                <w:szCs w:val="20"/>
                <w:lang w:eastAsia="en-GB"/>
              </w:rPr>
            </w:pPr>
          </w:p>
        </w:tc>
        <w:tc>
          <w:tcPr>
            <w:tcW w:w="1701" w:type="dxa"/>
            <w:shd w:val="clear" w:color="auto" w:fill="D9D9D9" w:themeFill="background1" w:themeFillShade="D9"/>
          </w:tcPr>
          <w:p w:rsidR="00180529" w:rsidRPr="000857C1" w:rsidRDefault="00180529" w:rsidP="00846B16">
            <w:pPr>
              <w:spacing w:line="300" w:lineRule="auto"/>
              <w:rPr>
                <w:rFonts w:ascii="Arial" w:hAnsi="Arial" w:cs="Arial"/>
                <w:sz w:val="20"/>
                <w:szCs w:val="20"/>
                <w:lang w:eastAsia="en-GB"/>
              </w:rPr>
            </w:pPr>
          </w:p>
        </w:tc>
        <w:tc>
          <w:tcPr>
            <w:tcW w:w="2693" w:type="dxa"/>
            <w:shd w:val="clear" w:color="auto" w:fill="DBE5F1" w:themeFill="accent1" w:themeFillTint="33"/>
          </w:tcPr>
          <w:p w:rsidR="00180529" w:rsidRPr="000857C1" w:rsidRDefault="00180529" w:rsidP="00846B16">
            <w:pPr>
              <w:spacing w:line="300" w:lineRule="auto"/>
              <w:rPr>
                <w:rFonts w:ascii="Arial" w:hAnsi="Arial" w:cs="Arial"/>
                <w:sz w:val="20"/>
                <w:szCs w:val="20"/>
                <w:lang w:eastAsia="en-GB"/>
              </w:rPr>
            </w:pPr>
          </w:p>
        </w:tc>
      </w:tr>
      <w:tr w:rsidR="00180529" w:rsidRPr="000857C1" w:rsidTr="00846B16">
        <w:trPr>
          <w:trHeight w:val="564"/>
        </w:trPr>
        <w:tc>
          <w:tcPr>
            <w:tcW w:w="7196" w:type="dxa"/>
            <w:gridSpan w:val="4"/>
            <w:shd w:val="clear" w:color="auto" w:fill="DBE5F1" w:themeFill="accent1" w:themeFillTint="33"/>
            <w:vAlign w:val="center"/>
          </w:tcPr>
          <w:p w:rsidR="00180529" w:rsidRPr="000857C1" w:rsidRDefault="00180529" w:rsidP="00846B16">
            <w:pPr>
              <w:spacing w:line="300" w:lineRule="auto"/>
              <w:rPr>
                <w:rFonts w:ascii="Arial" w:hAnsi="Arial" w:cs="Arial"/>
                <w:b/>
                <w:sz w:val="20"/>
                <w:szCs w:val="20"/>
                <w:lang w:eastAsia="en-GB"/>
              </w:rPr>
            </w:pPr>
            <w:r>
              <w:rPr>
                <w:rFonts w:ascii="Arial" w:hAnsi="Arial" w:cs="Arial"/>
                <w:b/>
                <w:sz w:val="20"/>
                <w:szCs w:val="20"/>
                <w:lang w:eastAsia="en-GB"/>
              </w:rPr>
              <w:t>Total annual price</w:t>
            </w:r>
            <w:r w:rsidRPr="000857C1">
              <w:rPr>
                <w:rFonts w:ascii="Arial" w:hAnsi="Arial" w:cs="Arial"/>
                <w:b/>
                <w:sz w:val="20"/>
                <w:szCs w:val="20"/>
                <w:lang w:eastAsia="en-GB"/>
              </w:rPr>
              <w:t xml:space="preserve"> for all insurance policies*</w:t>
            </w:r>
          </w:p>
        </w:tc>
        <w:tc>
          <w:tcPr>
            <w:tcW w:w="2693" w:type="dxa"/>
            <w:shd w:val="clear" w:color="auto" w:fill="DBE5F1" w:themeFill="accent1" w:themeFillTint="33"/>
          </w:tcPr>
          <w:p w:rsidR="00180529" w:rsidRPr="000857C1" w:rsidRDefault="00180529" w:rsidP="00846B16">
            <w:pPr>
              <w:spacing w:line="300" w:lineRule="auto"/>
              <w:rPr>
                <w:rFonts w:ascii="Arial" w:hAnsi="Arial" w:cs="Arial"/>
                <w:sz w:val="20"/>
                <w:szCs w:val="20"/>
                <w:lang w:eastAsia="en-GB"/>
              </w:rPr>
            </w:pPr>
          </w:p>
        </w:tc>
      </w:tr>
    </w:tbl>
    <w:p w:rsidR="00180529" w:rsidRPr="000857C1" w:rsidRDefault="00180529" w:rsidP="00180529">
      <w:pPr>
        <w:spacing w:line="300" w:lineRule="auto"/>
        <w:jc w:val="both"/>
        <w:rPr>
          <w:rFonts w:ascii="Arial" w:hAnsi="Arial" w:cs="Arial"/>
          <w:sz w:val="20"/>
          <w:szCs w:val="20"/>
          <w:lang w:eastAsia="en-GB"/>
        </w:rPr>
      </w:pPr>
    </w:p>
    <w:p w:rsidR="00180529" w:rsidRPr="000857C1" w:rsidRDefault="00180529" w:rsidP="00180529">
      <w:pPr>
        <w:spacing w:line="300" w:lineRule="auto"/>
        <w:jc w:val="both"/>
        <w:rPr>
          <w:rFonts w:ascii="Arial" w:hAnsi="Arial" w:cs="Arial"/>
          <w:sz w:val="20"/>
          <w:szCs w:val="20"/>
          <w:lang w:eastAsia="en-GB"/>
        </w:rPr>
      </w:pPr>
      <w:r w:rsidRPr="000857C1">
        <w:rPr>
          <w:rFonts w:ascii="Arial" w:hAnsi="Arial" w:cs="Arial"/>
          <w:b/>
          <w:sz w:val="20"/>
          <w:szCs w:val="20"/>
          <w:lang w:eastAsia="en-GB"/>
        </w:rPr>
        <w:t>*</w:t>
      </w:r>
      <w:r>
        <w:rPr>
          <w:rFonts w:ascii="Arial" w:hAnsi="Arial" w:cs="Arial"/>
          <w:sz w:val="20"/>
          <w:szCs w:val="20"/>
          <w:lang w:eastAsia="en-GB"/>
        </w:rPr>
        <w:t xml:space="preserve"> Please note that </w:t>
      </w:r>
      <w:r w:rsidRPr="000857C1">
        <w:rPr>
          <w:rFonts w:ascii="Arial" w:hAnsi="Arial" w:cs="Arial"/>
          <w:spacing w:val="-3"/>
          <w:sz w:val="20"/>
          <w:szCs w:val="20"/>
        </w:rPr>
        <w:t xml:space="preserve">under Article </w:t>
      </w:r>
      <w:r>
        <w:rPr>
          <w:rFonts w:ascii="Arial" w:hAnsi="Arial" w:cs="Arial"/>
          <w:spacing w:val="-3"/>
          <w:sz w:val="20"/>
          <w:szCs w:val="20"/>
        </w:rPr>
        <w:t>3 and 4 of the Protocol on the Privileges and I</w:t>
      </w:r>
      <w:r w:rsidRPr="000857C1">
        <w:rPr>
          <w:rFonts w:ascii="Arial" w:hAnsi="Arial" w:cs="Arial"/>
          <w:spacing w:val="-3"/>
          <w:sz w:val="20"/>
          <w:szCs w:val="20"/>
        </w:rPr>
        <w:t xml:space="preserve">mmunities of the European Union, EMSA is exempt from all duties, taxes and other charges, including VAT. This applies to EMSA pursuant to the Regulation 1406/2002/EC. These duties, taxes and other charges can therefore not enter into the calculation included in the bid. </w:t>
      </w:r>
      <w:r w:rsidRPr="000857C1">
        <w:rPr>
          <w:rFonts w:ascii="Arial" w:hAnsi="Arial" w:cs="Arial"/>
          <w:spacing w:val="-3"/>
          <w:sz w:val="20"/>
          <w:szCs w:val="20"/>
          <w:u w:val="single"/>
        </w:rPr>
        <w:t>The amount of VAT must be shown separately</w:t>
      </w:r>
      <w:r w:rsidRPr="000857C1">
        <w:rPr>
          <w:rFonts w:ascii="Arial" w:hAnsi="Arial" w:cs="Arial"/>
          <w:spacing w:val="-3"/>
          <w:sz w:val="20"/>
          <w:szCs w:val="20"/>
        </w:rPr>
        <w:t>.</w:t>
      </w:r>
    </w:p>
    <w:p w:rsidR="00180529" w:rsidRDefault="00180529" w:rsidP="00180529">
      <w:pPr>
        <w:spacing w:line="300" w:lineRule="auto"/>
        <w:rPr>
          <w:rFonts w:ascii="Arial" w:hAnsi="Arial" w:cs="Arial"/>
          <w:sz w:val="20"/>
          <w:szCs w:val="20"/>
          <w:lang w:eastAsia="en-GB"/>
        </w:rPr>
      </w:pPr>
    </w:p>
    <w:p w:rsidR="00180529" w:rsidRPr="00D04BA5" w:rsidRDefault="00180529" w:rsidP="00180529">
      <w:pPr>
        <w:spacing w:line="276" w:lineRule="auto"/>
        <w:jc w:val="both"/>
        <w:rPr>
          <w:rFonts w:ascii="Arial" w:hAnsi="Arial" w:cs="Arial"/>
          <w:b/>
          <w:sz w:val="20"/>
          <w:szCs w:val="20"/>
        </w:rPr>
      </w:pPr>
      <w:r w:rsidRPr="00D04BA5">
        <w:rPr>
          <w:rFonts w:ascii="Arial" w:hAnsi="Arial" w:cs="Arial"/>
          <w:b/>
          <w:sz w:val="20"/>
          <w:szCs w:val="20"/>
        </w:rPr>
        <w:t>Place and date:</w:t>
      </w:r>
    </w:p>
    <w:p w:rsidR="00180529" w:rsidRPr="000857C1" w:rsidRDefault="00180529" w:rsidP="00180529">
      <w:pPr>
        <w:spacing w:line="276" w:lineRule="auto"/>
        <w:jc w:val="both"/>
        <w:rPr>
          <w:rFonts w:ascii="Arial" w:hAnsi="Arial" w:cs="Arial"/>
          <w:sz w:val="20"/>
          <w:szCs w:val="20"/>
        </w:rPr>
      </w:pPr>
    </w:p>
    <w:p w:rsidR="00180529" w:rsidRPr="00D04BA5" w:rsidRDefault="00180529" w:rsidP="00180529">
      <w:pPr>
        <w:spacing w:line="276" w:lineRule="auto"/>
        <w:jc w:val="both"/>
        <w:rPr>
          <w:rFonts w:ascii="Arial" w:hAnsi="Arial" w:cs="Arial"/>
          <w:b/>
          <w:sz w:val="20"/>
          <w:szCs w:val="20"/>
        </w:rPr>
      </w:pPr>
      <w:r w:rsidRPr="00D04BA5">
        <w:rPr>
          <w:rFonts w:ascii="Arial" w:hAnsi="Arial" w:cs="Arial"/>
          <w:b/>
          <w:sz w:val="20"/>
          <w:szCs w:val="20"/>
        </w:rPr>
        <w:t>Name of the tenderer:</w:t>
      </w:r>
    </w:p>
    <w:p w:rsidR="00180529" w:rsidRPr="000857C1" w:rsidRDefault="00180529" w:rsidP="00180529">
      <w:pPr>
        <w:spacing w:line="276" w:lineRule="auto"/>
        <w:jc w:val="both"/>
        <w:rPr>
          <w:rFonts w:ascii="Arial" w:hAnsi="Arial" w:cs="Arial"/>
          <w:sz w:val="20"/>
          <w:szCs w:val="20"/>
        </w:rPr>
      </w:pPr>
    </w:p>
    <w:p w:rsidR="00180529" w:rsidRDefault="00180529" w:rsidP="00180529">
      <w:pPr>
        <w:spacing w:line="276" w:lineRule="auto"/>
        <w:jc w:val="both"/>
        <w:rPr>
          <w:rFonts w:ascii="Arial" w:hAnsi="Arial" w:cs="Arial"/>
          <w:sz w:val="20"/>
          <w:szCs w:val="20"/>
        </w:rPr>
      </w:pPr>
      <w:r w:rsidRPr="00D04BA5">
        <w:rPr>
          <w:rFonts w:ascii="Arial" w:hAnsi="Arial" w:cs="Arial"/>
          <w:b/>
          <w:sz w:val="20"/>
          <w:szCs w:val="20"/>
        </w:rPr>
        <w:t>Name and signature</w:t>
      </w:r>
      <w:r w:rsidRPr="000857C1">
        <w:rPr>
          <w:rFonts w:ascii="Arial" w:hAnsi="Arial" w:cs="Arial"/>
          <w:sz w:val="20"/>
          <w:szCs w:val="20"/>
        </w:rPr>
        <w:t xml:space="preserve"> of </w:t>
      </w:r>
      <w:r>
        <w:rPr>
          <w:rFonts w:ascii="Arial" w:hAnsi="Arial" w:cs="Arial"/>
          <w:sz w:val="20"/>
          <w:szCs w:val="20"/>
        </w:rPr>
        <w:t xml:space="preserve">the </w:t>
      </w:r>
      <w:r w:rsidRPr="000857C1">
        <w:rPr>
          <w:rFonts w:ascii="Arial" w:hAnsi="Arial" w:cs="Arial"/>
          <w:sz w:val="20"/>
          <w:szCs w:val="20"/>
        </w:rPr>
        <w:t>authorised representative:</w:t>
      </w:r>
    </w:p>
    <w:p w:rsidR="00180529" w:rsidRPr="000857C1" w:rsidRDefault="00180529" w:rsidP="00180529">
      <w:pPr>
        <w:spacing w:line="276" w:lineRule="auto"/>
        <w:jc w:val="both"/>
        <w:rPr>
          <w:rFonts w:ascii="Arial" w:hAnsi="Arial" w:cs="Arial"/>
          <w:sz w:val="20"/>
          <w:szCs w:val="20"/>
        </w:rPr>
      </w:pPr>
    </w:p>
    <w:p w:rsidR="00180529" w:rsidRPr="000857C1" w:rsidRDefault="00180529" w:rsidP="00180529">
      <w:pPr>
        <w:spacing w:line="276" w:lineRule="auto"/>
        <w:jc w:val="both"/>
        <w:rPr>
          <w:rFonts w:ascii="Arial" w:hAnsi="Arial" w:cs="Arial"/>
          <w:sz w:val="20"/>
          <w:szCs w:val="20"/>
        </w:rPr>
      </w:pPr>
      <w:r w:rsidRPr="000857C1">
        <w:rPr>
          <w:rFonts w:ascii="Arial" w:hAnsi="Arial" w:cs="Arial"/>
          <w:sz w:val="20"/>
          <w:szCs w:val="20"/>
        </w:rPr>
        <w:t xml:space="preserve">Position in </w:t>
      </w:r>
      <w:r>
        <w:rPr>
          <w:rFonts w:ascii="Arial" w:hAnsi="Arial" w:cs="Arial"/>
          <w:sz w:val="20"/>
          <w:szCs w:val="20"/>
        </w:rPr>
        <w:t>the company/tenderer</w:t>
      </w:r>
      <w:r w:rsidRPr="000857C1">
        <w:rPr>
          <w:rFonts w:ascii="Arial" w:hAnsi="Arial" w:cs="Arial"/>
          <w:sz w:val="20"/>
          <w:szCs w:val="20"/>
        </w:rPr>
        <w:t>:</w:t>
      </w:r>
    </w:p>
    <w:p w:rsidR="005A2AD1" w:rsidRDefault="005A2AD1"/>
    <w:sectPr w:rsidR="005A2A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529" w:rsidRDefault="00180529" w:rsidP="00180529">
      <w:r>
        <w:separator/>
      </w:r>
    </w:p>
  </w:endnote>
  <w:endnote w:type="continuationSeparator" w:id="0">
    <w:p w:rsidR="00180529" w:rsidRDefault="00180529" w:rsidP="00180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529" w:rsidRDefault="00180529" w:rsidP="00180529">
      <w:r>
        <w:separator/>
      </w:r>
    </w:p>
  </w:footnote>
  <w:footnote w:type="continuationSeparator" w:id="0">
    <w:p w:rsidR="00180529" w:rsidRDefault="00180529" w:rsidP="00180529">
      <w:r>
        <w:continuationSeparator/>
      </w:r>
    </w:p>
  </w:footnote>
  <w:footnote w:id="1">
    <w:p w:rsidR="00180529" w:rsidRDefault="00180529" w:rsidP="00180529">
      <w:pPr>
        <w:pStyle w:val="FootnoteText"/>
        <w:jc w:val="both"/>
        <w:rPr>
          <w:rFonts w:ascii="Verdana" w:hAnsi="Verdana"/>
          <w:sz w:val="16"/>
          <w:szCs w:val="16"/>
          <w:lang w:val="en-IE"/>
        </w:rPr>
      </w:pPr>
    </w:p>
    <w:p w:rsidR="00180529" w:rsidRPr="00AE3D85" w:rsidRDefault="00180529" w:rsidP="00180529">
      <w:pPr>
        <w:pStyle w:val="FootnoteText"/>
        <w:jc w:val="both"/>
        <w:rPr>
          <w:rFonts w:ascii="Verdana" w:hAnsi="Verdana"/>
          <w:sz w:val="16"/>
          <w:szCs w:val="16"/>
          <w:lang w:val="en-IE"/>
        </w:rPr>
      </w:pPr>
      <w:r w:rsidRPr="00AE3D85">
        <w:rPr>
          <w:rStyle w:val="FootnoteReference"/>
          <w:rFonts w:ascii="Verdana" w:hAnsi="Verdana"/>
          <w:sz w:val="16"/>
          <w:szCs w:val="16"/>
        </w:rPr>
        <w:footnoteRef/>
      </w:r>
      <w:r w:rsidRPr="00AE3D85">
        <w:rPr>
          <w:rFonts w:ascii="Verdana" w:hAnsi="Verdana"/>
          <w:sz w:val="16"/>
          <w:szCs w:val="16"/>
        </w:rPr>
        <w:t xml:space="preserve"> The percentage (%) of the broker fee (whic</w:t>
      </w:r>
      <w:r>
        <w:rPr>
          <w:rFonts w:ascii="Verdana" w:hAnsi="Verdana"/>
          <w:sz w:val="16"/>
          <w:szCs w:val="16"/>
        </w:rPr>
        <w:t>h is applied to the premium</w:t>
      </w:r>
      <w:r w:rsidRPr="00AE3D85">
        <w:rPr>
          <w:rFonts w:ascii="Verdana" w:hAnsi="Verdana"/>
          <w:sz w:val="16"/>
          <w:szCs w:val="16"/>
        </w:rPr>
        <w:t xml:space="preserve">) should be equal for </w:t>
      </w:r>
      <w:r>
        <w:rPr>
          <w:rFonts w:ascii="Verdana" w:hAnsi="Verdana"/>
          <w:sz w:val="16"/>
          <w:szCs w:val="16"/>
        </w:rPr>
        <w:t xml:space="preserve">all </w:t>
      </w:r>
      <w:r w:rsidRPr="00AE3D85">
        <w:rPr>
          <w:rFonts w:ascii="Verdana" w:hAnsi="Verdana"/>
          <w:sz w:val="16"/>
          <w:szCs w:val="16"/>
        </w:rPr>
        <w:t>insurance</w:t>
      </w:r>
      <w:r>
        <w:rPr>
          <w:rFonts w:ascii="Verdana" w:hAnsi="Verdana"/>
          <w:sz w:val="16"/>
          <w:szCs w:val="16"/>
        </w:rPr>
        <w:t>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529"/>
    <w:rsid w:val="00180529"/>
    <w:rsid w:val="005A2AD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529"/>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529"/>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80529"/>
    <w:rPr>
      <w:sz w:val="20"/>
      <w:szCs w:val="20"/>
    </w:rPr>
  </w:style>
  <w:style w:type="character" w:customStyle="1" w:styleId="FootnoteTextChar">
    <w:name w:val="Footnote Text Char"/>
    <w:basedOn w:val="DefaultParagraphFont"/>
    <w:link w:val="FootnoteText"/>
    <w:uiPriority w:val="99"/>
    <w:semiHidden/>
    <w:rsid w:val="00180529"/>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18052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529"/>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80529"/>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80529"/>
    <w:rPr>
      <w:sz w:val="20"/>
      <w:szCs w:val="20"/>
    </w:rPr>
  </w:style>
  <w:style w:type="character" w:customStyle="1" w:styleId="FootnoteTextChar">
    <w:name w:val="Footnote Text Char"/>
    <w:basedOn w:val="DefaultParagraphFont"/>
    <w:link w:val="FootnoteText"/>
    <w:uiPriority w:val="99"/>
    <w:semiHidden/>
    <w:rsid w:val="00180529"/>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1805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79211-EE0F-4C91-A77B-0444B7E901B0}"/>
</file>

<file path=customXml/itemProps2.xml><?xml version="1.0" encoding="utf-8"?>
<ds:datastoreItem xmlns:ds="http://schemas.openxmlformats.org/officeDocument/2006/customXml" ds:itemID="{3FE345AD-BBA0-48C0-83FC-19C8B2C9CDED}"/>
</file>

<file path=customXml/itemProps3.xml><?xml version="1.0" encoding="utf-8"?>
<ds:datastoreItem xmlns:ds="http://schemas.openxmlformats.org/officeDocument/2006/customXml" ds:itemID="{A694D6ED-0C16-4DAC-B258-14CF8BD6BCD2}"/>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 TROOST</dc:creator>
  <cp:lastModifiedBy>Georg TROOST</cp:lastModifiedBy>
  <cp:revision>1</cp:revision>
  <dcterms:created xsi:type="dcterms:W3CDTF">2016-12-01T12:52:00Z</dcterms:created>
  <dcterms:modified xsi:type="dcterms:W3CDTF">2016-12-01T12:52:00Z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